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Times New Roman"/>
          <w:kern w:val="44"/>
          <w:sz w:val="30"/>
          <w:szCs w:val="30"/>
        </w:rPr>
      </w:pPr>
      <w:bookmarkStart w:id="0" w:name="_Hlk11752017"/>
      <w:bookmarkStart w:id="1" w:name="_Hlk11751980"/>
      <w:r>
        <w:rPr>
          <w:rFonts w:hint="eastAsia" w:ascii="宋体" w:hAnsi="宋体" w:eastAsia="宋体" w:cs="Times New Roman"/>
          <w:b/>
          <w:bCs/>
          <w:sz w:val="36"/>
          <w:szCs w:val="36"/>
        </w:rPr>
        <w:t>三、</w:t>
      </w:r>
      <w:r>
        <w:rPr>
          <w:rFonts w:hint="eastAsia" w:ascii="宋体" w:hAnsi="Courier New" w:eastAsia="宋体" w:cs="Times New Roman"/>
          <w:b/>
          <w:sz w:val="36"/>
          <w:szCs w:val="36"/>
        </w:rPr>
        <w:t>采购需求</w:t>
      </w:r>
    </w:p>
    <w:p>
      <w:pPr>
        <w:ind w:firstLine="470" w:firstLineChars="196"/>
        <w:rPr>
          <w:rFonts w:ascii="宋体" w:hAnsi="宋体" w:eastAsia="宋体" w:cs="Times New Roman"/>
          <w:color w:val="000000"/>
          <w:sz w:val="24"/>
          <w:szCs w:val="24"/>
        </w:rPr>
      </w:pPr>
      <w:r>
        <w:rPr>
          <w:rFonts w:hint="eastAsia" w:ascii="宋体" w:hAnsi="宋体" w:eastAsia="宋体" w:cs="Times New Roman"/>
          <w:color w:val="000000"/>
          <w:sz w:val="24"/>
          <w:szCs w:val="24"/>
        </w:rPr>
        <w:t>注：1、</w:t>
      </w:r>
      <w:r>
        <w:rPr>
          <w:rFonts w:hint="eastAsia" w:ascii="宋体" w:hAnsi="宋体" w:eastAsia="宋体" w:cs="Times New Roman"/>
          <w:color w:val="000000"/>
          <w:sz w:val="24"/>
          <w:szCs w:val="24"/>
          <w:highlight w:val="white"/>
        </w:rPr>
        <w:t>以下《采购需求一览表》所列清单为招标人（采购人）所提招标（采购）需求，投标供应商（供应商）应认真仔细研究，投标时应慎重选择相应的产品及技术参数、规格型号等进行投标。</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2、为有助于投标供应商选择投标产品，采购项目需求中所列品牌均为参考品牌，不作为指定品牌，投标供应商可以选择性能不低于所列参考品牌的其他品牌产品报价，但投标时应当提供有关技术证明资料，证明所投产品品质、档次、性能、技术参数不低于或相当于参考品牌，证明资料需经询价小组评审认可，未提供相关证明资料的可能导致投标无效。</w:t>
      </w:r>
    </w:p>
    <w:p>
      <w:pPr>
        <w:ind w:firstLine="470" w:firstLineChars="196"/>
        <w:rPr>
          <w:rFonts w:ascii="宋体" w:hAnsi="宋体" w:eastAsia="宋体" w:cs="Times New Roman"/>
          <w:color w:val="000000"/>
          <w:sz w:val="24"/>
          <w:szCs w:val="24"/>
          <w:highlight w:val="white"/>
        </w:rPr>
      </w:pPr>
      <w:r>
        <w:rPr>
          <w:rFonts w:hint="eastAsia" w:ascii="宋体" w:hAnsi="宋体" w:eastAsia="宋体" w:cs="Times New Roman"/>
          <w:color w:val="000000"/>
          <w:sz w:val="24"/>
          <w:szCs w:val="24"/>
          <w:highlight w:val="white"/>
        </w:rPr>
        <w:t>3、为鼓励不同品牌的充分竞争，如某项产品的某技术参数或要求属于个别品牌专有，则该技术参数及要求不具有限制性，投标供应商可对该参数或要求进行适当调整，并应当说明调整的理由，且此调整须经询价小组评审认可。</w:t>
      </w:r>
    </w:p>
    <w:p>
      <w:pPr>
        <w:ind w:firstLine="470" w:firstLineChars="196"/>
        <w:rPr>
          <w:rFonts w:ascii="宋体" w:hAnsi="宋体"/>
          <w:color w:val="000000"/>
          <w:sz w:val="24"/>
          <w:szCs w:val="24"/>
        </w:rPr>
      </w:pPr>
      <w:r>
        <w:rPr>
          <w:rFonts w:hint="eastAsia" w:ascii="宋体" w:hAnsi="宋体" w:eastAsia="宋体" w:cs="Times New Roman"/>
          <w:color w:val="000000"/>
          <w:sz w:val="24"/>
          <w:szCs w:val="24"/>
        </w:rPr>
        <w:t>4、</w:t>
      </w:r>
      <w:r>
        <w:rPr>
          <w:rFonts w:hint="eastAsia" w:ascii="宋体" w:hAnsi="宋体"/>
          <w:color w:val="000000"/>
          <w:sz w:val="24"/>
          <w:szCs w:val="24"/>
        </w:rPr>
        <w:t>采购文件中加注星号(“*”)的任何一项主要技术参数无技术资料支持的，投标无效。（技术支持资料以制造商公开发布的资料或检测机构出具的检测报告为准。若制造商公开发布的资料与检测机构出具的检测报告不一致，以检测机构出具的检测报告为准。）</w:t>
      </w:r>
      <w:r>
        <w:rPr>
          <w:rFonts w:hint="eastAsia" w:ascii="宋体" w:hAnsi="宋体"/>
          <w:color w:val="000000"/>
          <w:sz w:val="24"/>
          <w:szCs w:val="24"/>
          <w:highlight w:val="white"/>
        </w:rPr>
        <w:t>。</w:t>
      </w:r>
    </w:p>
    <w:p>
      <w:pPr>
        <w:ind w:firstLine="480" w:firstLineChars="200"/>
        <w:rPr>
          <w:rFonts w:ascii="宋体" w:hAnsi="宋体" w:eastAsia="宋体" w:cs="Times New Roman"/>
          <w:color w:val="000000"/>
          <w:sz w:val="24"/>
          <w:szCs w:val="24"/>
        </w:rPr>
      </w:pPr>
      <w:r>
        <w:rPr>
          <w:rFonts w:hint="eastAsia" w:ascii="宋体" w:hAnsi="宋体" w:eastAsia="宋体" w:cs="Times New Roman"/>
          <w:color w:val="000000"/>
          <w:sz w:val="24"/>
          <w:szCs w:val="24"/>
        </w:rPr>
        <w:t>5、投标报价包括采购、运输、人工、安装、售后、验收、招标代理费、税费</w:t>
      </w:r>
      <w:bookmarkStart w:id="2" w:name="_Hlk11405861"/>
      <w:r>
        <w:rPr>
          <w:rFonts w:hint="eastAsia" w:ascii="宋体" w:hAnsi="宋体" w:eastAsia="宋体" w:cs="Times New Roman"/>
          <w:color w:val="000000"/>
          <w:sz w:val="24"/>
          <w:szCs w:val="24"/>
        </w:rPr>
        <w:t>等所有费用。</w:t>
      </w:r>
      <w:bookmarkEnd w:id="2"/>
    </w:p>
    <w:p>
      <w:pPr>
        <w:ind w:firstLine="480" w:firstLineChars="200"/>
        <w:rPr>
          <w:rFonts w:ascii="Times New Roman" w:hAnsi="Times New Roman" w:eastAsia="宋体" w:cs="Times New Roman"/>
          <w:szCs w:val="24"/>
          <w:highlight w:val="white"/>
        </w:rPr>
      </w:pPr>
      <w:r>
        <w:rPr>
          <w:rFonts w:hint="eastAsia" w:ascii="宋体" w:hAnsi="宋体"/>
          <w:color w:val="000000"/>
          <w:sz w:val="24"/>
          <w:szCs w:val="24"/>
        </w:rPr>
        <w:t>6、下列《采购需求一览表》中：标注▲的产品，投标供应商在询价响应文件《主要成交标的承诺函》中填写名称、规格、型号、数量、单价等信息，承诺函经评标委员会评审认可后随评审结果一并公示，如询价响应文件中未提供、提供不全将可能导致投标无效。</w:t>
      </w:r>
      <w:bookmarkStart w:id="3" w:name="_Hlk33586079"/>
      <w:r>
        <w:rPr>
          <w:rFonts w:hint="eastAsia" w:ascii="宋体" w:hAnsi="宋体"/>
          <w:color w:val="000000"/>
          <w:sz w:val="24"/>
          <w:szCs w:val="24"/>
        </w:rPr>
        <w:t>采购人（采购代理机构）在编制招标文件时必须将采购的主要产品标注“▲”。按照招标文件要求，标注 “▲”号的产品，投标人必须在“主要成交标的承诺函中”填写该产品的名称规格、型号、数量、单价等具体信息。</w:t>
      </w:r>
      <w:bookmarkEnd w:id="3"/>
    </w:p>
    <w:p>
      <w:pPr>
        <w:pStyle w:val="8"/>
        <w:ind w:firstLine="470" w:firstLineChars="196"/>
        <w:rPr>
          <w:rFonts w:ascii="宋体" w:hAnsi="宋体"/>
          <w:color w:val="000000"/>
          <w:sz w:val="24"/>
          <w:szCs w:val="24"/>
        </w:rPr>
      </w:pPr>
      <w:r>
        <w:rPr>
          <w:rFonts w:hint="eastAsia" w:ascii="宋体" w:hAnsi="宋体"/>
          <w:color w:val="000000"/>
          <w:sz w:val="24"/>
          <w:szCs w:val="24"/>
        </w:rPr>
        <w:t>7、</w:t>
      </w:r>
      <w:r>
        <w:rPr>
          <w:rFonts w:hint="eastAsia" w:ascii="宋体" w:hAnsi="宋体"/>
          <w:color w:val="000000"/>
          <w:sz w:val="24"/>
          <w:szCs w:val="24"/>
          <w:highlight w:val="white"/>
        </w:rPr>
        <w:t>招标人（采购人）</w:t>
      </w:r>
      <w:r>
        <w:rPr>
          <w:rFonts w:hint="eastAsia" w:ascii="宋体" w:hAnsi="宋体"/>
          <w:color w:val="0D0D0D"/>
          <w:sz w:val="24"/>
          <w:szCs w:val="24"/>
        </w:rPr>
        <w:t>或采购代理机构查询中国政府采购网相关链接，并</w:t>
      </w:r>
      <w:r>
        <w:rPr>
          <w:rFonts w:hint="eastAsia" w:ascii="宋体" w:hAnsi="宋体"/>
          <w:color w:val="000000"/>
          <w:sz w:val="24"/>
          <w:szCs w:val="24"/>
        </w:rPr>
        <w:t>根据查询结果，在采购需求一览表填写列入品目清单情况。</w:t>
      </w:r>
    </w:p>
    <w:p>
      <w:pPr>
        <w:pStyle w:val="8"/>
        <w:ind w:firstLine="470" w:firstLineChars="196"/>
        <w:rPr>
          <w:rFonts w:ascii="宋体" w:hAnsi="宋体"/>
          <w:color w:val="0D0D0D"/>
          <w:sz w:val="24"/>
          <w:szCs w:val="24"/>
        </w:rPr>
      </w:pPr>
      <w:r>
        <w:rPr>
          <w:rFonts w:hint="eastAsia" w:ascii="宋体" w:hAnsi="宋体"/>
          <w:color w:val="0D0D0D"/>
          <w:sz w:val="24"/>
          <w:szCs w:val="24"/>
        </w:rPr>
        <w:t>采购产品如有列入品目清单内强制采购类节能产品，必须按品目清单要求采购。</w:t>
      </w:r>
      <w:r>
        <w:rPr>
          <w:rFonts w:hint="eastAsia" w:ascii="宋体" w:hAnsi="宋体"/>
          <w:color w:val="000000"/>
          <w:sz w:val="24"/>
          <w:szCs w:val="24"/>
        </w:rPr>
        <w:t>提供国家确定的认证机构证明网页截图，及认证机构出具的、处于有效期之内的节能产品认证证书，</w:t>
      </w:r>
      <w:r>
        <w:rPr>
          <w:rFonts w:hint="eastAsia" w:ascii="宋体" w:hAnsi="宋体"/>
          <w:color w:val="0D0D0D"/>
          <w:sz w:val="24"/>
          <w:szCs w:val="24"/>
        </w:rPr>
        <w:t>否则按无效投标处理。</w:t>
      </w:r>
    </w:p>
    <w:p>
      <w:pPr>
        <w:pStyle w:val="8"/>
        <w:ind w:firstLine="470" w:firstLineChars="196"/>
      </w:pPr>
      <w:r>
        <w:rPr>
          <w:rFonts w:hint="eastAsia" w:ascii="宋体" w:hAnsi="宋体"/>
          <w:color w:val="0D0D0D"/>
          <w:sz w:val="24"/>
          <w:szCs w:val="24"/>
        </w:rPr>
        <w:t>采购产品如有列入品目清单内优先采购节能或环境标志产品，根据评标办法要求提供相关证明材料</w:t>
      </w:r>
      <w:r>
        <w:rPr>
          <w:rFonts w:hint="eastAsia" w:ascii="宋体" w:hAnsi="宋体"/>
          <w:color w:val="000000"/>
          <w:sz w:val="24"/>
          <w:szCs w:val="24"/>
        </w:rPr>
        <w:t>，</w:t>
      </w:r>
      <w:r>
        <w:rPr>
          <w:rFonts w:hint="eastAsia" w:ascii="宋体" w:hAnsi="宋体"/>
          <w:color w:val="0D0D0D"/>
          <w:sz w:val="24"/>
          <w:szCs w:val="24"/>
        </w:rPr>
        <w:t>否则在评标时相关评审项不得分</w:t>
      </w:r>
      <w:r>
        <w:rPr>
          <w:rFonts w:hint="eastAsia" w:ascii="宋体" w:hAnsi="宋体"/>
          <w:color w:val="000000"/>
          <w:sz w:val="24"/>
          <w:szCs w:val="24"/>
        </w:rPr>
        <w:t>。</w:t>
      </w:r>
    </w:p>
    <w:p>
      <w:pPr>
        <w:rPr>
          <w:rFonts w:ascii="Times New Roman" w:hAnsi="Times New Roman" w:eastAsia="宋体" w:cs="Times New Roman"/>
          <w:szCs w:val="24"/>
          <w:highlight w:val="red"/>
        </w:rPr>
      </w:pPr>
    </w:p>
    <w:p>
      <w:pPr>
        <w:rPr>
          <w:rFonts w:ascii="Times New Roman" w:hAnsi="Times New Roman" w:eastAsia="宋体" w:cs="Times New Roman"/>
          <w:szCs w:val="24"/>
          <w:highlight w:val="red"/>
        </w:rPr>
      </w:pPr>
    </w:p>
    <w:p>
      <w:pPr>
        <w:spacing w:line="360" w:lineRule="auto"/>
        <w:ind w:firstLine="470" w:firstLineChars="196"/>
        <w:jc w:val="center"/>
        <w:rPr>
          <w:rFonts w:ascii="宋体" w:hAnsi="宋体" w:eastAsia="宋体" w:cs="Times New Roman"/>
          <w:color w:val="000000"/>
          <w:sz w:val="24"/>
          <w:szCs w:val="24"/>
        </w:rPr>
      </w:pPr>
      <w:r>
        <w:rPr>
          <w:rFonts w:hint="eastAsia" w:ascii="宋体" w:hAnsi="宋体" w:eastAsia="宋体" w:cs="Times New Roman"/>
          <w:color w:val="000000"/>
          <w:sz w:val="24"/>
          <w:szCs w:val="24"/>
        </w:rPr>
        <w:t>采购清单说明</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*1、方法：离子选择电极法</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*2、用途：用于电解质分析仪离子选择电极K、Na、Cl、Ca、PH、TCO2的校正和保养</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*3、效期：未开封的质保期为两年，开封后质保期为30天</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4、保存条件：清洁通风，避免日晒，环境温度0-40摄氏度</w:t>
      </w:r>
    </w:p>
    <w:p>
      <w:pPr>
        <w:pStyle w:val="8"/>
        <w:spacing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5、对现有的设备及系统提供免费全方位的维修保养等服务，定期回访，定期校准并提供校准报告 (工程师1小时内响应，24小时内到达现场）。</w:t>
      </w:r>
    </w:p>
    <w:p>
      <w:pPr>
        <w:pStyle w:val="8"/>
        <w:spacing w:line="360" w:lineRule="auto"/>
        <w:ind w:firstLine="480" w:firstLineChars="200"/>
        <w:jc w:val="left"/>
        <w:rPr>
          <w:rFonts w:hint="eastAsia" w:ascii="宋体" w:hAnsi="宋体" w:eastAsia="宋体" w:cs="宋体"/>
          <w:color w:val="C00000"/>
          <w:sz w:val="24"/>
          <w:szCs w:val="24"/>
        </w:rPr>
      </w:pPr>
      <w:r>
        <w:rPr>
          <w:rFonts w:hint="eastAsia" w:ascii="宋体" w:hAnsi="宋体" w:eastAsia="宋体" w:cs="宋体"/>
          <w:color w:val="C00000"/>
          <w:sz w:val="24"/>
          <w:szCs w:val="24"/>
        </w:rPr>
        <w:t>*6、本项目报价为单价报价，投标人单价报价不得超过采购需求一览表中备注的限制价格</w:t>
      </w:r>
      <w:r>
        <w:rPr>
          <w:rFonts w:hint="eastAsia" w:ascii="宋体" w:hAnsi="宋体" w:cs="宋体"/>
          <w:color w:val="C00000"/>
          <w:sz w:val="24"/>
          <w:szCs w:val="24"/>
          <w:lang w:eastAsia="zh-CN"/>
        </w:rPr>
        <w:t>，</w:t>
      </w:r>
      <w:r>
        <w:rPr>
          <w:rFonts w:hint="eastAsia" w:ascii="宋体" w:hAnsi="宋体" w:cs="宋体"/>
          <w:color w:val="C00000"/>
          <w:sz w:val="24"/>
          <w:szCs w:val="24"/>
          <w:lang w:val="en-US" w:eastAsia="zh-CN"/>
        </w:rPr>
        <w:t>如有</w:t>
      </w:r>
      <w:r>
        <w:rPr>
          <w:rFonts w:hint="eastAsia" w:ascii="宋体" w:hAnsi="宋体" w:eastAsia="宋体" w:cs="宋体"/>
          <w:color w:val="C00000"/>
          <w:sz w:val="24"/>
          <w:szCs w:val="24"/>
        </w:rPr>
        <w:t>省平台</w:t>
      </w:r>
      <w:r>
        <w:rPr>
          <w:rFonts w:hint="eastAsia" w:ascii="宋体" w:hAnsi="宋体" w:cs="宋体"/>
          <w:color w:val="C00000"/>
          <w:sz w:val="24"/>
          <w:szCs w:val="24"/>
          <w:lang w:val="en-US" w:eastAsia="zh-CN"/>
        </w:rPr>
        <w:t>限价也不得超过省平台价格</w:t>
      </w:r>
      <w:r>
        <w:rPr>
          <w:rFonts w:hint="eastAsia" w:ascii="宋体" w:hAnsi="宋体" w:eastAsia="宋体" w:cs="宋体"/>
          <w:color w:val="C00000"/>
          <w:sz w:val="24"/>
          <w:szCs w:val="24"/>
        </w:rPr>
        <w:t>。</w:t>
      </w:r>
    </w:p>
    <w:p>
      <w:pPr>
        <w:pStyle w:val="5"/>
        <w:spacing w:line="360" w:lineRule="auto"/>
        <w:ind w:left="0" w:leftChars="0" w:firstLine="480"/>
        <w:rPr>
          <w:rFonts w:hint="eastAsia" w:ascii="宋体" w:hAnsi="宋体" w:eastAsia="宋体" w:cs="宋体"/>
          <w:sz w:val="24"/>
          <w:szCs w:val="24"/>
        </w:rPr>
      </w:pPr>
      <w:r>
        <w:rPr>
          <w:rFonts w:hint="eastAsia" w:ascii="宋体" w:hAnsi="宋体" w:eastAsia="宋体" w:cs="宋体"/>
          <w:sz w:val="24"/>
          <w:szCs w:val="24"/>
        </w:rPr>
        <w:t>7、结算方式：采购人根据实际采购数量结合中标单位的单价报价，据实结算，具体付款方式合同中约定。</w:t>
      </w:r>
    </w:p>
    <w:p>
      <w:pPr>
        <w:pStyle w:val="5"/>
        <w:spacing w:line="360" w:lineRule="auto"/>
        <w:ind w:left="0" w:leftChars="0" w:firstLine="480"/>
        <w:rPr>
          <w:rFonts w:hint="eastAsia" w:ascii="宋体" w:hAnsi="宋体" w:eastAsia="宋体" w:cs="宋体"/>
          <w:sz w:val="24"/>
          <w:szCs w:val="24"/>
        </w:rPr>
      </w:pPr>
      <w:r>
        <w:rPr>
          <w:rFonts w:hint="eastAsia" w:ascii="宋体" w:hAnsi="宋体" w:eastAsia="宋体" w:cs="宋体"/>
          <w:sz w:val="24"/>
          <w:szCs w:val="24"/>
        </w:rPr>
        <w:t>8、本项目预算金额3万元，自合同签订之日起，采购人根据实际情况一年内向中标单位采购一定数量的试剂/耗材，当采购金额超过预算金额或合同履约到期（以先到者为准），合同终止。</w:t>
      </w:r>
    </w:p>
    <w:p>
      <w:pPr>
        <w:pStyle w:val="5"/>
        <w:ind w:left="0" w:leftChars="0" w:firstLine="480"/>
        <w:rPr>
          <w:rFonts w:hint="eastAsia" w:ascii="宋体" w:hAnsi="宋体" w:eastAsia="宋体" w:cs="宋体"/>
          <w:sz w:val="24"/>
          <w:szCs w:val="24"/>
        </w:rPr>
      </w:pPr>
      <w:r>
        <w:rPr>
          <w:rFonts w:hint="eastAsia" w:ascii="宋体" w:hAnsi="宋体" w:eastAsia="宋体" w:cs="宋体"/>
          <w:sz w:val="24"/>
          <w:szCs w:val="24"/>
        </w:rPr>
        <w:t>9、投标人投标文件中须提供试剂或耗材清单，清单格式见附表</w:t>
      </w:r>
    </w:p>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附表：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11"/>
        <w:gridCol w:w="811"/>
        <w:gridCol w:w="1196"/>
        <w:gridCol w:w="1006"/>
        <w:gridCol w:w="1190"/>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序号</w:t>
            </w:r>
          </w:p>
        </w:tc>
        <w:tc>
          <w:tcPr>
            <w:tcW w:w="101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试剂/耗材名称</w:t>
            </w:r>
          </w:p>
        </w:tc>
        <w:tc>
          <w:tcPr>
            <w:tcW w:w="811"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品牌</w:t>
            </w:r>
          </w:p>
        </w:tc>
        <w:tc>
          <w:tcPr>
            <w:tcW w:w="1196"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规格型号</w:t>
            </w:r>
          </w:p>
        </w:tc>
        <w:tc>
          <w:tcPr>
            <w:tcW w:w="1006"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安徽省医药集中采购平台的限价价格</w:t>
            </w:r>
          </w:p>
        </w:tc>
        <w:tc>
          <w:tcPr>
            <w:tcW w:w="1190"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产品流水号</w:t>
            </w:r>
          </w:p>
        </w:tc>
        <w:tc>
          <w:tcPr>
            <w:tcW w:w="1098" w:type="dxa"/>
            <w:noWrap w:val="0"/>
            <w:vAlign w:val="top"/>
          </w:tcPr>
          <w:p>
            <w:pPr>
              <w:pStyle w:val="5"/>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firstLine="480"/>
              <w:rPr>
                <w:rFonts w:hint="eastAsia" w:ascii="宋体" w:hAnsi="宋体" w:eastAsia="宋体" w:cs="宋体"/>
                <w:sz w:val="24"/>
                <w:szCs w:val="24"/>
              </w:rPr>
            </w:pPr>
          </w:p>
        </w:tc>
        <w:tc>
          <w:tcPr>
            <w:tcW w:w="1011" w:type="dxa"/>
            <w:noWrap w:val="0"/>
            <w:vAlign w:val="top"/>
          </w:tcPr>
          <w:p>
            <w:pPr>
              <w:pStyle w:val="5"/>
              <w:ind w:firstLine="480"/>
              <w:rPr>
                <w:rFonts w:hint="eastAsia" w:ascii="宋体" w:hAnsi="宋体" w:eastAsia="宋体" w:cs="宋体"/>
                <w:sz w:val="24"/>
                <w:szCs w:val="24"/>
              </w:rPr>
            </w:pPr>
          </w:p>
        </w:tc>
        <w:tc>
          <w:tcPr>
            <w:tcW w:w="811" w:type="dxa"/>
            <w:noWrap w:val="0"/>
            <w:vAlign w:val="top"/>
          </w:tcPr>
          <w:p>
            <w:pPr>
              <w:pStyle w:val="5"/>
              <w:ind w:firstLine="480"/>
              <w:rPr>
                <w:rFonts w:hint="eastAsia" w:ascii="宋体" w:hAnsi="宋体" w:eastAsia="宋体" w:cs="宋体"/>
                <w:sz w:val="24"/>
                <w:szCs w:val="24"/>
              </w:rPr>
            </w:pPr>
          </w:p>
        </w:tc>
        <w:tc>
          <w:tcPr>
            <w:tcW w:w="1196" w:type="dxa"/>
            <w:noWrap w:val="0"/>
            <w:vAlign w:val="top"/>
          </w:tcPr>
          <w:p>
            <w:pPr>
              <w:pStyle w:val="5"/>
              <w:ind w:firstLine="480"/>
              <w:rPr>
                <w:rFonts w:hint="eastAsia" w:ascii="宋体" w:hAnsi="宋体" w:eastAsia="宋体" w:cs="宋体"/>
                <w:sz w:val="24"/>
                <w:szCs w:val="24"/>
              </w:rPr>
            </w:pPr>
          </w:p>
        </w:tc>
        <w:tc>
          <w:tcPr>
            <w:tcW w:w="1006" w:type="dxa"/>
            <w:noWrap w:val="0"/>
            <w:vAlign w:val="top"/>
          </w:tcPr>
          <w:p>
            <w:pPr>
              <w:pStyle w:val="5"/>
              <w:ind w:firstLine="480"/>
              <w:rPr>
                <w:rFonts w:hint="eastAsia" w:ascii="宋体" w:hAnsi="宋体" w:eastAsia="宋体" w:cs="宋体"/>
                <w:sz w:val="24"/>
                <w:szCs w:val="24"/>
              </w:rPr>
            </w:pPr>
          </w:p>
        </w:tc>
        <w:tc>
          <w:tcPr>
            <w:tcW w:w="1190" w:type="dxa"/>
            <w:noWrap w:val="0"/>
            <w:vAlign w:val="top"/>
          </w:tcPr>
          <w:p>
            <w:pPr>
              <w:pStyle w:val="5"/>
              <w:ind w:firstLine="480"/>
              <w:rPr>
                <w:rFonts w:hint="eastAsia" w:ascii="宋体" w:hAnsi="宋体" w:eastAsia="宋体" w:cs="宋体"/>
                <w:sz w:val="24"/>
                <w:szCs w:val="24"/>
              </w:rPr>
            </w:pPr>
          </w:p>
        </w:tc>
        <w:tc>
          <w:tcPr>
            <w:tcW w:w="1098" w:type="dxa"/>
            <w:noWrap w:val="0"/>
            <w:vAlign w:val="top"/>
          </w:tcPr>
          <w:p>
            <w:pPr>
              <w:pStyle w:val="5"/>
              <w:ind w:firstLine="48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1" w:type="dxa"/>
            <w:noWrap w:val="0"/>
            <w:vAlign w:val="top"/>
          </w:tcPr>
          <w:p>
            <w:pPr>
              <w:pStyle w:val="5"/>
              <w:ind w:firstLine="480"/>
              <w:rPr>
                <w:rFonts w:hint="eastAsia" w:ascii="宋体" w:hAnsi="宋体" w:eastAsia="宋体" w:cs="宋体"/>
                <w:sz w:val="24"/>
                <w:szCs w:val="24"/>
              </w:rPr>
            </w:pPr>
          </w:p>
        </w:tc>
        <w:tc>
          <w:tcPr>
            <w:tcW w:w="1011" w:type="dxa"/>
            <w:noWrap w:val="0"/>
            <w:vAlign w:val="top"/>
          </w:tcPr>
          <w:p>
            <w:pPr>
              <w:pStyle w:val="5"/>
              <w:ind w:firstLine="480"/>
              <w:rPr>
                <w:rFonts w:hint="eastAsia" w:ascii="宋体" w:hAnsi="宋体" w:eastAsia="宋体" w:cs="宋体"/>
                <w:sz w:val="24"/>
                <w:szCs w:val="24"/>
              </w:rPr>
            </w:pPr>
          </w:p>
        </w:tc>
        <w:tc>
          <w:tcPr>
            <w:tcW w:w="811" w:type="dxa"/>
            <w:noWrap w:val="0"/>
            <w:vAlign w:val="top"/>
          </w:tcPr>
          <w:p>
            <w:pPr>
              <w:pStyle w:val="5"/>
              <w:ind w:firstLine="480"/>
              <w:rPr>
                <w:rFonts w:hint="eastAsia" w:ascii="宋体" w:hAnsi="宋体" w:eastAsia="宋体" w:cs="宋体"/>
                <w:sz w:val="24"/>
                <w:szCs w:val="24"/>
              </w:rPr>
            </w:pPr>
          </w:p>
        </w:tc>
        <w:tc>
          <w:tcPr>
            <w:tcW w:w="1196" w:type="dxa"/>
            <w:noWrap w:val="0"/>
            <w:vAlign w:val="top"/>
          </w:tcPr>
          <w:p>
            <w:pPr>
              <w:pStyle w:val="5"/>
              <w:ind w:firstLine="480"/>
              <w:rPr>
                <w:rFonts w:hint="eastAsia" w:ascii="宋体" w:hAnsi="宋体" w:eastAsia="宋体" w:cs="宋体"/>
                <w:sz w:val="24"/>
                <w:szCs w:val="24"/>
              </w:rPr>
            </w:pPr>
          </w:p>
        </w:tc>
        <w:tc>
          <w:tcPr>
            <w:tcW w:w="1006" w:type="dxa"/>
            <w:noWrap w:val="0"/>
            <w:vAlign w:val="top"/>
          </w:tcPr>
          <w:p>
            <w:pPr>
              <w:pStyle w:val="5"/>
              <w:ind w:firstLine="480"/>
              <w:rPr>
                <w:rFonts w:hint="eastAsia" w:ascii="宋体" w:hAnsi="宋体" w:eastAsia="宋体" w:cs="宋体"/>
                <w:sz w:val="24"/>
                <w:szCs w:val="24"/>
              </w:rPr>
            </w:pPr>
          </w:p>
        </w:tc>
        <w:tc>
          <w:tcPr>
            <w:tcW w:w="1190" w:type="dxa"/>
            <w:noWrap w:val="0"/>
            <w:vAlign w:val="top"/>
          </w:tcPr>
          <w:p>
            <w:pPr>
              <w:pStyle w:val="5"/>
              <w:ind w:firstLine="480"/>
              <w:rPr>
                <w:rFonts w:hint="eastAsia" w:ascii="宋体" w:hAnsi="宋体" w:eastAsia="宋体" w:cs="宋体"/>
                <w:sz w:val="24"/>
                <w:szCs w:val="24"/>
              </w:rPr>
            </w:pPr>
          </w:p>
        </w:tc>
        <w:tc>
          <w:tcPr>
            <w:tcW w:w="1098" w:type="dxa"/>
            <w:noWrap w:val="0"/>
            <w:vAlign w:val="top"/>
          </w:tcPr>
          <w:p>
            <w:pPr>
              <w:pStyle w:val="5"/>
              <w:ind w:firstLine="480"/>
              <w:rPr>
                <w:rFonts w:hint="eastAsia" w:ascii="宋体" w:hAnsi="宋体" w:eastAsia="宋体" w:cs="宋体"/>
                <w:sz w:val="24"/>
                <w:szCs w:val="24"/>
              </w:rPr>
            </w:pPr>
          </w:p>
        </w:tc>
      </w:tr>
    </w:tbl>
    <w:p>
      <w:pPr>
        <w:pStyle w:val="5"/>
        <w:ind w:left="0" w:leftChars="0" w:firstLine="480"/>
        <w:rPr>
          <w:rFonts w:hint="eastAsia" w:ascii="宋体" w:hAnsi="宋体" w:eastAsia="宋体" w:cs="宋体"/>
          <w:sz w:val="24"/>
          <w:szCs w:val="24"/>
        </w:rPr>
      </w:pPr>
      <w:r>
        <w:rPr>
          <w:rFonts w:hint="eastAsia" w:ascii="宋体" w:hAnsi="宋体" w:eastAsia="宋体" w:cs="宋体"/>
          <w:sz w:val="24"/>
          <w:szCs w:val="24"/>
        </w:rPr>
        <w:t>说明：没有安徽省医药集中采购平台的限价价格的可填“无”</w:t>
      </w:r>
    </w:p>
    <w:p>
      <w:pPr>
        <w:pStyle w:val="8"/>
        <w:spacing w:line="360" w:lineRule="auto"/>
        <w:ind w:firstLine="480" w:firstLineChars="200"/>
        <w:jc w:val="left"/>
        <w:rPr>
          <w:rFonts w:ascii="宋体" w:hAnsi="宋体" w:eastAsia="宋体" w:cs="Times New Roman"/>
          <w:color w:val="000000"/>
          <w:sz w:val="24"/>
          <w:szCs w:val="24"/>
        </w:rPr>
      </w:pPr>
      <w:r>
        <w:rPr>
          <w:rFonts w:hint="eastAsia" w:ascii="宋体" w:hAnsi="宋体"/>
          <w:color w:val="C00000"/>
          <w:sz w:val="24"/>
          <w:szCs w:val="24"/>
          <w:highlight w:val="none"/>
        </w:rPr>
        <w:t>*</w:t>
      </w:r>
      <w:r>
        <w:rPr>
          <w:rFonts w:hint="eastAsia" w:asciiTheme="minorEastAsia" w:hAnsiTheme="minorEastAsia" w:eastAsiaTheme="minorEastAsia" w:cstheme="minorEastAsia"/>
          <w:color w:val="C00000"/>
          <w:sz w:val="24"/>
          <w:szCs w:val="24"/>
          <w:highlight w:val="none"/>
          <w:lang w:val="en-US" w:eastAsia="zh-CN"/>
        </w:rPr>
        <w:t>10、</w:t>
      </w:r>
      <w:r>
        <w:rPr>
          <w:rFonts w:hint="eastAsia" w:ascii="宋体" w:hAnsi="宋体"/>
          <w:color w:val="C00000"/>
          <w:sz w:val="24"/>
          <w:szCs w:val="24"/>
          <w:highlight w:val="none"/>
        </w:rPr>
        <w:t>投标单位</w:t>
      </w:r>
      <w:r>
        <w:rPr>
          <w:rFonts w:hint="eastAsia" w:ascii="宋体" w:hAnsi="宋体"/>
          <w:color w:val="C00000"/>
          <w:sz w:val="24"/>
          <w:szCs w:val="24"/>
          <w:highlight w:val="none"/>
          <w:lang w:val="en-US" w:eastAsia="zh-CN"/>
        </w:rPr>
        <w:t>承诺</w:t>
      </w:r>
      <w:r>
        <w:rPr>
          <w:rFonts w:hint="eastAsia" w:ascii="宋体" w:hAnsi="宋体"/>
          <w:color w:val="C00000"/>
          <w:sz w:val="24"/>
          <w:szCs w:val="24"/>
          <w:highlight w:val="none"/>
        </w:rPr>
        <w:t>中标后，耗材必须统一由</w:t>
      </w:r>
      <w:r>
        <w:rPr>
          <w:rFonts w:hint="eastAsia" w:ascii="宋体" w:hAnsi="宋体"/>
          <w:color w:val="C00000"/>
          <w:sz w:val="24"/>
          <w:szCs w:val="24"/>
          <w:highlight w:val="none"/>
          <w:lang w:val="en-US" w:eastAsia="zh-CN"/>
        </w:rPr>
        <w:t>采购人</w:t>
      </w:r>
      <w:r>
        <w:rPr>
          <w:rFonts w:hint="eastAsia" w:ascii="宋体" w:hAnsi="宋体"/>
          <w:color w:val="C00000"/>
          <w:sz w:val="24"/>
          <w:szCs w:val="24"/>
          <w:highlight w:val="none"/>
        </w:rPr>
        <w:t>配送机构统一配送，</w:t>
      </w:r>
      <w:r>
        <w:rPr>
          <w:rFonts w:hint="eastAsia" w:ascii="宋体" w:hAnsi="宋体"/>
          <w:color w:val="C00000"/>
          <w:sz w:val="24"/>
          <w:szCs w:val="24"/>
          <w:highlight w:val="none"/>
          <w:lang w:val="en-US" w:eastAsia="zh-CN"/>
        </w:rPr>
        <w:t>由中标单位承担配送费用，投标单位自行考虑报价，</w:t>
      </w:r>
      <w:r>
        <w:rPr>
          <w:rFonts w:hint="eastAsia" w:ascii="宋体" w:hAnsi="宋体"/>
          <w:color w:val="C00000"/>
          <w:sz w:val="24"/>
          <w:szCs w:val="24"/>
          <w:highlight w:val="none"/>
        </w:rPr>
        <w:t>配送费用不高于</w:t>
      </w:r>
      <w:r>
        <w:rPr>
          <w:rFonts w:hint="eastAsia" w:ascii="宋体" w:hAnsi="宋体"/>
          <w:color w:val="C00000"/>
          <w:sz w:val="24"/>
          <w:szCs w:val="24"/>
          <w:highlight w:val="none"/>
          <w:lang w:val="en-US" w:eastAsia="zh-CN"/>
        </w:rPr>
        <w:t>中标价的5%；中标后，在签订采购合同前，向我院提供所投产品可追溯至原厂的产品销售授权书原件，如无法提供，视为自动放弃中标资格。</w:t>
      </w:r>
      <w:r>
        <w:rPr>
          <w:rFonts w:hint="eastAsia" w:ascii="宋体" w:hAnsi="宋体" w:cs="宋体"/>
          <w:color w:val="C00000"/>
          <w:sz w:val="24"/>
          <w:szCs w:val="24"/>
          <w:highlight w:val="none"/>
          <w:shd w:val="clear" w:color="auto" w:fill="FFFFFF"/>
        </w:rPr>
        <w:t>提供承诺函并加盖公章，格式自拟</w:t>
      </w:r>
      <w:r>
        <w:rPr>
          <w:rFonts w:hint="eastAsia" w:ascii="宋体" w:hAnsi="宋体"/>
          <w:color w:val="C00000"/>
          <w:sz w:val="24"/>
          <w:szCs w:val="24"/>
          <w:highlight w:val="none"/>
        </w:rPr>
        <w:t>。</w:t>
      </w:r>
    </w:p>
    <w:p>
      <w:pPr>
        <w:pStyle w:val="8"/>
        <w:spacing w:line="360" w:lineRule="auto"/>
        <w:ind w:firstLine="480" w:firstLineChars="200"/>
        <w:jc w:val="left"/>
        <w:rPr>
          <w:rFonts w:hint="eastAsia" w:ascii="宋体" w:hAnsi="宋体"/>
          <w:color w:val="000000"/>
          <w:sz w:val="24"/>
          <w:szCs w:val="24"/>
        </w:rPr>
      </w:pPr>
    </w:p>
    <w:p>
      <w:pPr>
        <w:pStyle w:val="5"/>
        <w:ind w:left="0" w:leftChars="0" w:firstLine="480"/>
        <w:rPr>
          <w:rFonts w:hint="eastAsia" w:asciiTheme="minorEastAsia" w:hAnsiTheme="minorEastAsia" w:eastAsiaTheme="minorEastAsia" w:cstheme="minorEastAsia"/>
          <w:sz w:val="24"/>
          <w:szCs w:val="24"/>
          <w:lang w:val="en-US" w:eastAsia="zh-CN"/>
        </w:rPr>
      </w:pPr>
    </w:p>
    <w:p>
      <w:pPr>
        <w:spacing w:line="360" w:lineRule="auto"/>
        <w:rPr>
          <w:rFonts w:ascii="宋体" w:hAnsi="宋体" w:eastAsia="宋体" w:cs="Times New Roman"/>
          <w:color w:val="000000"/>
          <w:sz w:val="24"/>
          <w:szCs w:val="24"/>
        </w:rPr>
      </w:pPr>
    </w:p>
    <w:p>
      <w:pPr>
        <w:spacing w:line="360" w:lineRule="auto"/>
        <w:rPr>
          <w:rFonts w:ascii="宋体" w:hAnsi="宋体" w:eastAsia="宋体" w:cs="Times New Roman"/>
          <w:color w:val="000000"/>
          <w:sz w:val="24"/>
          <w:szCs w:val="24"/>
        </w:rPr>
      </w:pPr>
    </w:p>
    <w:p>
      <w:pPr>
        <w:jc w:val="center"/>
        <w:rPr>
          <w:rFonts w:hint="eastAsia" w:ascii="宋体" w:hAnsi="宋体" w:eastAsia="宋体" w:cs="Times New Roman"/>
          <w:sz w:val="28"/>
          <w:szCs w:val="28"/>
          <w:highlight w:val="white"/>
        </w:rPr>
      </w:pPr>
    </w:p>
    <w:p>
      <w:pPr>
        <w:jc w:val="center"/>
        <w:rPr>
          <w:rFonts w:hint="eastAsia" w:ascii="宋体" w:hAnsi="宋体" w:eastAsia="宋体" w:cs="Times New Roman"/>
          <w:sz w:val="28"/>
          <w:szCs w:val="28"/>
          <w:highlight w:val="white"/>
        </w:rPr>
      </w:pPr>
    </w:p>
    <w:p>
      <w:pPr>
        <w:jc w:val="center"/>
        <w:rPr>
          <w:rFonts w:hint="eastAsia" w:ascii="宋体" w:hAnsi="宋体" w:eastAsia="宋体" w:cs="Times New Roman"/>
          <w:sz w:val="28"/>
          <w:szCs w:val="28"/>
          <w:highlight w:val="white"/>
        </w:rPr>
      </w:pPr>
      <w:r>
        <w:rPr>
          <w:rFonts w:hint="eastAsia" w:ascii="宋体" w:hAnsi="宋体" w:eastAsia="宋体" w:cs="Times New Roman"/>
          <w:sz w:val="28"/>
          <w:szCs w:val="28"/>
          <w:highlight w:val="white"/>
        </w:rPr>
        <w:t>采购需求一览表</w:t>
      </w:r>
      <w:bookmarkEnd w:id="0"/>
    </w:p>
    <w:tbl>
      <w:tblPr>
        <w:tblStyle w:val="6"/>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3"/>
        <w:gridCol w:w="1701"/>
        <w:gridCol w:w="1560"/>
        <w:gridCol w:w="708"/>
        <w:gridCol w:w="709"/>
        <w:gridCol w:w="709"/>
        <w:gridCol w:w="709"/>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8"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r>
              <w:rPr>
                <w:rFonts w:hint="eastAsia" w:ascii="宋体" w:hAnsi="宋体"/>
                <w:sz w:val="22"/>
                <w:szCs w:val="24"/>
              </w:rPr>
              <w:t>序号</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 w:val="22"/>
                <w:szCs w:val="24"/>
              </w:rPr>
            </w:pPr>
            <w:r>
              <w:rPr>
                <w:rFonts w:hint="eastAsia" w:ascii="宋体" w:hAnsi="宋体"/>
                <w:sz w:val="22"/>
                <w:szCs w:val="24"/>
              </w:rPr>
              <w:t>名称</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ascii="宋体" w:hAnsi="宋体"/>
                <w:sz w:val="22"/>
                <w:szCs w:val="24"/>
              </w:rPr>
            </w:pPr>
            <w:r>
              <w:rPr>
                <w:rFonts w:hint="eastAsia" w:ascii="宋体" w:hAnsi="宋体"/>
                <w:sz w:val="22"/>
                <w:szCs w:val="24"/>
              </w:rPr>
              <w:t>技术参数和规格型号</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宋体"/>
                <w:kern w:val="0"/>
                <w:sz w:val="22"/>
                <w:szCs w:val="24"/>
              </w:rPr>
            </w:pPr>
            <w:r>
              <w:rPr>
                <w:rFonts w:hint="eastAsia" w:ascii="宋体" w:hAnsi="宋体"/>
                <w:sz w:val="22"/>
                <w:szCs w:val="24"/>
              </w:rPr>
              <w:t>数量</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r>
              <w:rPr>
                <w:rFonts w:hint="eastAsia" w:ascii="宋体" w:hAnsi="宋体"/>
                <w:sz w:val="22"/>
                <w:szCs w:val="24"/>
              </w:rPr>
              <w:t>单位</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r>
              <w:rPr>
                <w:rFonts w:hint="eastAsia" w:ascii="宋体" w:hAnsi="宋体"/>
                <w:sz w:val="22"/>
                <w:szCs w:val="24"/>
              </w:rPr>
              <w:t>单价</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r>
              <w:rPr>
                <w:rFonts w:hint="eastAsia" w:ascii="宋体" w:hAnsi="宋体"/>
                <w:sz w:val="22"/>
                <w:szCs w:val="24"/>
              </w:rPr>
              <w:t>合计价</w:t>
            </w: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r>
              <w:rPr>
                <w:rFonts w:hint="eastAsia" w:ascii="宋体" w:hAnsi="宋体"/>
                <w:sz w:val="22"/>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1</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ascii="宋体" w:hAnsi="宋体" w:cs="Arial"/>
                <w:color w:val="000000"/>
                <w:kern w:val="0"/>
                <w:sz w:val="22"/>
                <w:szCs w:val="24"/>
              </w:rPr>
              <w:t>▲</w:t>
            </w:r>
            <w:r>
              <w:rPr>
                <w:rFonts w:hint="eastAsia"/>
              </w:rPr>
              <w:t>A漂移校正液</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宋体" w:hAnsi="宋体" w:cs="微软雅黑"/>
                <w:color w:val="000000"/>
                <w:sz w:val="22"/>
                <w:szCs w:val="24"/>
                <w:shd w:val="clear" w:color="auto" w:fill="FFFFFF"/>
              </w:rPr>
            </w:pPr>
            <w:r>
              <w:rPr>
                <w:rFonts w:hint="eastAsia" w:ascii="宋体" w:hAnsi="宋体" w:cs="微软雅黑"/>
                <w:color w:val="000000"/>
                <w:szCs w:val="21"/>
                <w:shd w:val="clear" w:color="auto" w:fill="FFFFFF"/>
              </w:rPr>
              <w:t>规格：</w:t>
            </w:r>
            <w:r>
              <w:rPr>
                <w:rFonts w:hint="eastAsia"/>
              </w:rPr>
              <w:t>350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本项单价报价不得超过135.00元/瓶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2</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rPr>
              <w:t>B斜率校正液</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350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hint="eastAsia" w:ascii="微软雅黑" w:hAnsi="微软雅黑" w:eastAsia="微软雅黑" w:cs="微软雅黑"/>
                <w:color w:val="000000"/>
                <w:szCs w:val="21"/>
                <w:shd w:val="clear" w:color="auto" w:fill="FFFFFF"/>
              </w:rPr>
            </w:pPr>
            <w:r>
              <w:rPr>
                <w:rFonts w:hint="eastAsia" w:ascii="微软雅黑" w:hAnsi="微软雅黑" w:eastAsia="微软雅黑" w:cs="微软雅黑"/>
                <w:color w:val="000000"/>
                <w:szCs w:val="21"/>
                <w:shd w:val="clear" w:color="auto" w:fill="FFFFFF"/>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本项单价报价不得超过143.10元/瓶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3</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rPr>
              <w:t>C-2内校液</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110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本项单价报价不得超过153.00元/瓶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4</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氯电极</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Theme="minorEastAsia"/>
                <w:highlight w:val="none"/>
                <w:lang w:eastAsia="zh-CN"/>
              </w:rPr>
            </w:pPr>
            <w:r>
              <w:rPr>
                <w:rFonts w:hint="eastAsia" w:ascii="宋体" w:hAnsi="宋体" w:cs="微软雅黑"/>
                <w:color w:val="000000"/>
                <w:szCs w:val="21"/>
                <w:highlight w:val="none"/>
                <w:shd w:val="clear" w:color="auto" w:fill="FFFFFF"/>
                <w:lang w:val="en-US" w:eastAsia="zh-CN"/>
              </w:rPr>
              <w:t>个</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本项单价报价不得超过900.00元/瓶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5</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highlight w:val="none"/>
              </w:rPr>
            </w:pPr>
            <w:r>
              <w:rPr>
                <w:rFonts w:hint="eastAsia"/>
                <w:highlight w:val="none"/>
              </w:rPr>
              <w:t>清洗液C</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eastAsiaTheme="minorEastAsia"/>
                <w:highlight w:val="none"/>
                <w:lang w:eastAsia="zh-CN"/>
              </w:rPr>
            </w:pPr>
            <w:r>
              <w:rPr>
                <w:rFonts w:hint="eastAsia" w:ascii="宋体" w:hAnsi="宋体" w:cs="微软雅黑"/>
                <w:color w:val="000000"/>
                <w:szCs w:val="21"/>
                <w:highlight w:val="none"/>
                <w:shd w:val="clear" w:color="auto" w:fill="FFFFFF"/>
                <w:lang w:val="en-US" w:eastAsia="zh-CN"/>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本项单价报价不得超过65.00元/瓶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6</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rPr>
              <w:t>参比液</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10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本项单价报价不得超过130.00元/瓶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7</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rPr>
              <w:t>普通电极内充液</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3</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本项单价报价不得超过150.00元/瓶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8</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rPr>
                <w:rFonts w:hint="eastAsia"/>
              </w:rPr>
            </w:pPr>
            <w:r>
              <w:rPr>
                <w:rFonts w:hint="eastAsia"/>
              </w:rPr>
              <w:t>A-1漂移校正液（CO2标1）</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110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本项单价报价不得超过142.20元/瓶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jc w:val="center"/>
        </w:trPr>
        <w:tc>
          <w:tcPr>
            <w:tcW w:w="80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Arial"/>
                <w:color w:val="000000"/>
                <w:kern w:val="0"/>
                <w:sz w:val="22"/>
                <w:szCs w:val="24"/>
              </w:rPr>
            </w:pPr>
            <w:r>
              <w:rPr>
                <w:rFonts w:ascii="宋体" w:hAnsi="宋体" w:cs="Arial"/>
                <w:color w:val="000000"/>
                <w:kern w:val="0"/>
                <w:sz w:val="22"/>
                <w:szCs w:val="24"/>
              </w:rPr>
              <w:t>9</w:t>
            </w:r>
          </w:p>
        </w:tc>
        <w:tc>
          <w:tcPr>
            <w:tcW w:w="170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rPr>
              <w:t>B-1斜率校正液（CO2标2）</w:t>
            </w:r>
          </w:p>
        </w:tc>
        <w:tc>
          <w:tcPr>
            <w:tcW w:w="1560"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jc w:val="center"/>
            </w:pPr>
            <w:r>
              <w:rPr>
                <w:rFonts w:hint="eastAsia" w:ascii="宋体" w:hAnsi="宋体" w:cs="微软雅黑"/>
                <w:color w:val="000000"/>
                <w:szCs w:val="21"/>
                <w:shd w:val="clear" w:color="auto" w:fill="FFFFFF"/>
              </w:rPr>
              <w:t>规格：</w:t>
            </w:r>
            <w:r>
              <w:rPr>
                <w:rFonts w:hint="eastAsia"/>
              </w:rPr>
              <w:t>110</w:t>
            </w:r>
            <w:r>
              <w:t>ml/</w:t>
            </w:r>
            <w:r>
              <w:rPr>
                <w:rFonts w:hint="eastAsia"/>
              </w:rPr>
              <w:t>瓶</w:t>
            </w:r>
          </w:p>
        </w:tc>
        <w:tc>
          <w:tcPr>
            <w:tcW w:w="708"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widowControl/>
              <w:jc w:val="center"/>
              <w:textAlignment w:val="center"/>
              <w:rPr>
                <w:rFonts w:ascii="微软雅黑" w:hAnsi="微软雅黑" w:eastAsia="微软雅黑" w:cs="微软雅黑"/>
                <w:color w:val="000000"/>
                <w:szCs w:val="21"/>
                <w:shd w:val="clear" w:color="auto" w:fill="FFFFFF"/>
              </w:rPr>
            </w:pPr>
            <w:r>
              <w:rPr>
                <w:rFonts w:hint="eastAsia" w:ascii="宋体" w:hAnsi="宋体" w:cs="宋体"/>
                <w:color w:val="000000"/>
                <w:kern w:val="0"/>
                <w:sz w:val="20"/>
                <w:szCs w:val="20"/>
                <w:lang w:bidi="ar"/>
              </w:rPr>
              <w:t>1</w:t>
            </w:r>
          </w:p>
        </w:tc>
        <w:tc>
          <w:tcPr>
            <w:tcW w:w="709"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瓶</w:t>
            </w: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kern w:val="0"/>
                <w:sz w:val="22"/>
                <w:szCs w:val="24"/>
              </w:rPr>
            </w:pPr>
          </w:p>
        </w:tc>
        <w:tc>
          <w:tcPr>
            <w:tcW w:w="1822" w:type="dxa"/>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pPr>
            <w:r>
              <w:rPr>
                <w:rFonts w:hint="eastAsia"/>
              </w:rPr>
              <w:t>本项单价报价不得超过247.80元/瓶</w:t>
            </w:r>
          </w:p>
        </w:tc>
      </w:tr>
    </w:tbl>
    <w:p>
      <w:pPr>
        <w:spacing w:line="560" w:lineRule="exact"/>
        <w:rPr>
          <w:rFonts w:ascii="宋体" w:hAnsi="宋体" w:eastAsia="宋体" w:cs="Times New Roman"/>
          <w:szCs w:val="21"/>
          <w:highlight w:val="white"/>
        </w:rPr>
        <w:sectPr>
          <w:footerReference r:id="rId3" w:type="default"/>
          <w:pgSz w:w="11906" w:h="16838"/>
          <w:pgMar w:top="1440" w:right="1800" w:bottom="1440" w:left="1800" w:header="851" w:footer="992" w:gutter="0"/>
          <w:cols w:space="720" w:num="1"/>
          <w:docGrid w:type="linesAndChars" w:linePitch="315" w:charSpace="0"/>
        </w:sectPr>
      </w:pPr>
      <w:bookmarkStart w:id="4" w:name="_GoBack"/>
      <w:bookmarkEnd w:id="4"/>
    </w:p>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DA51EE"/>
    <w:rsid w:val="39DA5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Closing"/>
    <w:basedOn w:val="1"/>
    <w:next w:val="1"/>
    <w:qFormat/>
    <w:uiPriority w:val="0"/>
    <w:pPr>
      <w:widowControl/>
      <w:ind w:left="4320"/>
      <w:jc w:val="left"/>
    </w:pPr>
    <w:rPr>
      <w:kern w:val="0"/>
      <w:sz w:val="20"/>
      <w:szCs w:val="20"/>
    </w:rPr>
  </w:style>
  <w:style w:type="paragraph" w:styleId="3">
    <w:name w:val="Body Text Indent"/>
    <w:basedOn w:val="1"/>
    <w:qFormat/>
    <w:uiPriority w:val="0"/>
    <w:pPr>
      <w:spacing w:line="300" w:lineRule="auto"/>
      <w:ind w:firstLine="480" w:firstLineChars="200"/>
    </w:pPr>
    <w:rPr>
      <w:rFonts w:ascii="仿宋_GB2312" w:hAnsi="Times New Roman" w:eastAsia="仿宋_GB2312" w:cs="Times New Roman"/>
      <w:sz w:val="24"/>
      <w:szCs w:val="21"/>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2"/>
    <w:basedOn w:val="3"/>
    <w:qFormat/>
    <w:uiPriority w:val="0"/>
    <w:pPr>
      <w:ind w:firstLine="420" w:firstLineChars="200"/>
    </w:pPr>
    <w:rPr>
      <w:rFonts w:ascii="Calibri" w:hAnsi="Calibri"/>
      <w:szCs w:val="22"/>
    </w:rPr>
  </w:style>
  <w:style w:type="paragraph" w:customStyle="1" w:styleId="8">
    <w:name w:val="正文_0_0"/>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2021-06-24T06:22:00Z</dcterms:created>
  <dc:creator>WPS_1499744845</dc:creator>
  <cp:lastModifiedBy>WPS_1499744845</cp:lastModifiedBy>
  <dcterms:modified xsi:type="dcterms:W3CDTF">2021-06-24T06:22:57Z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